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252"/>
          <w:tab w:val="right" w:pos="850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Ecofont_Spranq_eco_Sans" w:cs="Ecofont_Spranq_eco_Sans" w:eastAsia="Ecofont_Spranq_eco_Sans" w:hAnsi="Ecofont_Spranq_eco_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page">
              <wp:posOffset>3521709</wp:posOffset>
            </wp:positionH>
            <wp:positionV relativeFrom="page">
              <wp:posOffset>418465</wp:posOffset>
            </wp:positionV>
            <wp:extent cx="501650" cy="542290"/>
            <wp:effectExtent b="0" l="0" r="0" t="0"/>
            <wp:wrapSquare wrapText="bothSides" distB="0" distT="0" distL="114300" distR="114300"/>
            <wp:docPr id="102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542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252"/>
          <w:tab w:val="right" w:pos="8504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252"/>
          <w:tab w:val="right" w:pos="8504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Instituto Federal de Educação, Ciência e Tecnologia do Rio Grande do Sul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Pró-reitoria de Administração</w:t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Diretoria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Administração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 Planejamento</w:t>
      </w:r>
    </w:p>
    <w:p w:rsidR="00000000" w:rsidDel="00000000" w:rsidP="00000000" w:rsidRDefault="00000000" w:rsidRPr="00000000" w14:paraId="00000008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ind w:right="-15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ESTUDOS TÉCNICOS PRELIMINARES</w:t>
      </w:r>
    </w:p>
    <w:p w:rsidR="00000000" w:rsidDel="00000000" w:rsidP="00000000" w:rsidRDefault="00000000" w:rsidRPr="00000000" w14:paraId="00000013">
      <w:pPr>
        <w:spacing w:after="120" w:lineRule="auto"/>
        <w:ind w:right="-15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lineRule="auto"/>
        <w:ind w:right="-15"/>
        <w:jc w:val="center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vertAlign w:val="baseline"/>
          <w:rtl w:val="0"/>
        </w:rPr>
        <w:t xml:space="preserve">Contratação de Empresas especializadas para a Reforma da cobertura predial torre norte do IFRS do Campus Porto Alegre”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Rule="auto"/>
        <w:ind w:right="-15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120" w:line="276" w:lineRule="auto"/>
        <w:ind w:left="1069" w:right="-15" w:hanging="360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CONSIDERAÇÕES INICIAIS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Este anteprojeto apresenta o conjunto de estudos preliminares realizados visando a possível reforma e adequação da cobertura na área do IFRS – Campus Porto Alegre e a contratação de empresa especializada para tal realizar. Bem como subsidiar a elaboração do projeto básico e do projeto executivo da futura obra.</w:t>
      </w:r>
    </w:p>
    <w:p w:rsidR="00000000" w:rsidDel="00000000" w:rsidP="00000000" w:rsidRDefault="00000000" w:rsidRPr="00000000" w14:paraId="00000027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Nesta fase, avaliam-se questões relativas à viabilidade da execução da obra ou da prestação do serviço, sob a ótica da racionalização das atividades desde os seus primeiros estágios de desenvolvimento.</w:t>
      </w:r>
    </w:p>
    <w:p w:rsidR="00000000" w:rsidDel="00000000" w:rsidP="00000000" w:rsidRDefault="00000000" w:rsidRPr="00000000" w14:paraId="00000028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Em geral, a elaboração de anteprojeto compreende as especificações e técnicas que serão empregadas, a definição das frentes de serviço, a sequência das atividades, o uso e as características dos equipamentos necessários.</w:t>
      </w:r>
    </w:p>
    <w:p w:rsidR="00000000" w:rsidDel="00000000" w:rsidP="00000000" w:rsidRDefault="00000000" w:rsidRPr="00000000" w14:paraId="00000029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anteprojeto considerará as atividades associadas à execução, com o fim de evitar possíveis interferências externas.</w:t>
      </w:r>
    </w:p>
    <w:p w:rsidR="00000000" w:rsidDel="00000000" w:rsidP="00000000" w:rsidRDefault="00000000" w:rsidRPr="00000000" w14:paraId="0000002A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line="276" w:lineRule="auto"/>
        <w:ind w:right="-15" w:firstLine="709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2 – DEFINIÇÃO DO OBJETO: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“Contratação de Empresas especializadas para a reforma e adequação da cobertura da torre norte do IFRS do Campus Porto Alegre”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D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line="276" w:lineRule="auto"/>
        <w:ind w:right="-15" w:firstLine="709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3 – ESTUDOS PRELIMINARES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conjunto de estudos preliminares a obra abrangeu, os seguintes aspectos: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120" w:line="276" w:lineRule="auto"/>
        <w:ind w:left="720" w:right="-15" w:hanging="36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Adequação técnica;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Funcionalidade;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Eficiência energética;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Adequações as normas vigentes (requisitos gerais de manuseio telhas, trabalhos em altura, normas NR´s, leis de proteção ambiental);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Escolha do material;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Possibilidade de racionalização da adequação da cobertura por sistemas ecológicos ou alternativos;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Existência de fornecedores que deem respostas as soluções sob consideração;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Estimativa Preliminar de custo;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120" w:line="276" w:lineRule="auto"/>
        <w:ind w:left="720" w:right="-15" w:hanging="36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Viabilidade econômico-financeira do objeto. </w:t>
      </w:r>
    </w:p>
    <w:p w:rsidR="00000000" w:rsidDel="00000000" w:rsidP="00000000" w:rsidRDefault="00000000" w:rsidRPr="00000000" w14:paraId="00000039">
      <w:pPr>
        <w:spacing w:after="120" w:line="276" w:lineRule="auto"/>
        <w:ind w:right="-15"/>
        <w:jc w:val="center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rFonts w:ascii="Arial" w:cs="Arial" w:eastAsia="Arial" w:hAnsi="Arial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ADEQUAÇÃO TÉCNICA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Para estudo do objeto foi considerado no todo ou em parte, os seguintes estudos e/ou parâmetros:</w:t>
      </w:r>
    </w:p>
    <w:p w:rsidR="00000000" w:rsidDel="00000000" w:rsidP="00000000" w:rsidRDefault="00000000" w:rsidRPr="00000000" w14:paraId="0000003C">
      <w:pPr>
        <w:numPr>
          <w:ilvl w:val="2"/>
          <w:numId w:val="1"/>
        </w:numPr>
        <w:spacing w:after="120" w:line="276" w:lineRule="auto"/>
        <w:ind w:left="720" w:right="-15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Necessidade da Obra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Para o início dos estudos foram realizados a identificação e diagnóstico da cobertura existente no campus, bem como as possíveis interferências e necessidades de reparos e adequações em mantas, isolamentos, bases de equipamentos de ar condicionado instalados e outros. A justificativa principal para esta intervenção é a troca total da cobertura em função de inúmeros vazamentos e infiltrações e que a cada chuva se precariza os espaços destinados a armazenamento (almoxarifados) e outros tornando o ambiente insalubre para permanência de pessoas, funcionários e colaboradores. </w:t>
      </w:r>
    </w:p>
    <w:p w:rsidR="00000000" w:rsidDel="00000000" w:rsidP="00000000" w:rsidRDefault="00000000" w:rsidRPr="00000000" w14:paraId="0000003E">
      <w:pPr>
        <w:numPr>
          <w:ilvl w:val="2"/>
          <w:numId w:val="1"/>
        </w:numPr>
        <w:spacing w:after="120" w:line="276" w:lineRule="auto"/>
        <w:ind w:left="720" w:right="-15" w:hanging="720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Levantamento fotográfico do local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Para a reforma e adequação da cobertura foi analisado o levantamento da cobertura existe e pontos de infiltrações conforme relatório de vistoria abaixo. Para assim definir a melhor alternativa de substituição.</w:t>
      </w:r>
    </w:p>
    <w:p w:rsidR="00000000" w:rsidDel="00000000" w:rsidP="00000000" w:rsidRDefault="00000000" w:rsidRPr="00000000" w14:paraId="00000040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vertAlign w:val="baseline"/>
          <w:rtl w:val="0"/>
        </w:rPr>
        <w:t xml:space="preserve">EM ANEXO RELATÓRIO</w:t>
      </w:r>
    </w:p>
    <w:p w:rsidR="00000000" w:rsidDel="00000000" w:rsidP="00000000" w:rsidRDefault="00000000" w:rsidRPr="00000000" w14:paraId="00000041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</w:rPr>
        <w:drawing>
          <wp:inline distB="0" distT="0" distL="114300" distR="114300">
            <wp:extent cx="5501640" cy="4222750"/>
            <wp:effectExtent b="0" l="0" r="0" t="0"/>
            <wp:docPr id="102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01640" cy="4222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2"/>
          <w:numId w:val="1"/>
        </w:numPr>
        <w:spacing w:after="120" w:line="276" w:lineRule="auto"/>
        <w:ind w:left="720" w:right="-15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Identificação da necessidade de retirada de todo telhado antigo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Em visita técnica foi observado a necessidade e retirada de telhas e material de isolamento antigo.</w:t>
      </w:r>
    </w:p>
    <w:p w:rsidR="00000000" w:rsidDel="00000000" w:rsidP="00000000" w:rsidRDefault="00000000" w:rsidRPr="00000000" w14:paraId="00000046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FUNCIONALIDADE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Para que o objeto seja funcional será levado em consideração, na hora de planejar, alguns parâmetros, a seguir relacionados: </w:t>
      </w:r>
    </w:p>
    <w:p w:rsidR="00000000" w:rsidDel="00000000" w:rsidP="00000000" w:rsidRDefault="00000000" w:rsidRPr="00000000" w14:paraId="0000004A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vertAlign w:val="baseline"/>
          <w:rtl w:val="0"/>
        </w:rPr>
        <w:t xml:space="preserve">Tipologia das coberturas: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será adotada solução de cobertura em estrutura de aço e telha trapezoidal tipo sanduíche. </w:t>
      </w:r>
    </w:p>
    <w:p w:rsidR="00000000" w:rsidDel="00000000" w:rsidP="00000000" w:rsidRDefault="00000000" w:rsidRPr="00000000" w14:paraId="0000004B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vertAlign w:val="baseline"/>
          <w:rtl w:val="0"/>
        </w:rPr>
        <w:t xml:space="preserve">Funcionalidade dos materiais de acabamentos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: os materiais serão especificados levando em consideração os seus requisitos de uso e aplicação: intensidade e característica do uso, conforto, exposição a agentes e intempéries; </w:t>
      </w:r>
    </w:p>
    <w:p w:rsidR="00000000" w:rsidDel="00000000" w:rsidP="00000000" w:rsidRDefault="00000000" w:rsidRPr="00000000" w14:paraId="0000004C">
      <w:pPr>
        <w:spacing w:after="120" w:line="276" w:lineRule="auto"/>
        <w:ind w:right="-15" w:firstLine="4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REQUISITOS AMBIENTAIS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As atividades que deverão ser monitoradas no decorrer da execução da obra deverão seguir as diretrizes de sustentabilidades ambiental:</w:t>
      </w:r>
    </w:p>
    <w:p w:rsidR="00000000" w:rsidDel="00000000" w:rsidP="00000000" w:rsidRDefault="00000000" w:rsidRPr="00000000" w14:paraId="0000004F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Emissão e propagação de ruídos; </w:t>
      </w:r>
    </w:p>
    <w:p w:rsidR="00000000" w:rsidDel="00000000" w:rsidP="00000000" w:rsidRDefault="00000000" w:rsidRPr="00000000" w14:paraId="00000050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Emissões de materiais particulados / poeiras; </w:t>
      </w:r>
    </w:p>
    <w:p w:rsidR="00000000" w:rsidDel="00000000" w:rsidP="00000000" w:rsidRDefault="00000000" w:rsidRPr="00000000" w14:paraId="00000051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Sinalização da obra; </w:t>
      </w:r>
    </w:p>
    <w:p w:rsidR="00000000" w:rsidDel="00000000" w:rsidP="00000000" w:rsidRDefault="00000000" w:rsidRPr="00000000" w14:paraId="00000052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Saúde e segurança do ocupacional / usos de EPI’s /Treinamento ambiental; </w:t>
      </w:r>
    </w:p>
    <w:p w:rsidR="00000000" w:rsidDel="00000000" w:rsidP="00000000" w:rsidRDefault="00000000" w:rsidRPr="00000000" w14:paraId="00000053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Resíduos da construção civil e de demolições</w:t>
      </w:r>
    </w:p>
    <w:p w:rsidR="00000000" w:rsidDel="00000000" w:rsidP="00000000" w:rsidRDefault="00000000" w:rsidRPr="00000000" w14:paraId="00000054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ab/>
        <w:t xml:space="preserve">Deverá ser tratado e prevista no projeto básico e no edital o destino final adequado dos resíduos da obra, ou seja, distribuição ordenada de rejeitos em aterros, observando normas operacionais específicas de modo a evitar danos ou riscos à saúde pública e à segurança e a minimizar os impactos ambientais adversos.</w:t>
      </w:r>
    </w:p>
    <w:p w:rsidR="00000000" w:rsidDel="00000000" w:rsidP="00000000" w:rsidRDefault="00000000" w:rsidRPr="00000000" w14:paraId="00000055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ab/>
        <w:t xml:space="preserve">O projeto básico e executivo devem considerar o impacto ambiental da contratação caso exista.</w:t>
      </w:r>
    </w:p>
    <w:p w:rsidR="00000000" w:rsidDel="00000000" w:rsidP="00000000" w:rsidRDefault="00000000" w:rsidRPr="00000000" w14:paraId="00000056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ab/>
        <w:t xml:space="preserve">Deve-se destacar no projeto básico e executivo a previsão de emprego de mão de obra, materiais, tecnologias e matérias-primas locais (artigo 12, IV, Lei n. 8.666, de 1993), aspectos que foram recentemente alçados ao patamar de diretrizes de sustentabilidade nas contratações públicas (artigo 4º, Decreto 7.746, 05/06/12).</w:t>
      </w:r>
    </w:p>
    <w:p w:rsidR="00000000" w:rsidDel="00000000" w:rsidP="00000000" w:rsidRDefault="00000000" w:rsidRPr="00000000" w14:paraId="00000057">
      <w:pPr>
        <w:spacing w:after="120" w:line="276" w:lineRule="auto"/>
        <w:ind w:right="-15"/>
        <w:jc w:val="both"/>
        <w:rPr>
          <w:rFonts w:ascii="Arial" w:cs="Arial" w:eastAsia="Arial" w:hAnsi="Arial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color w:val="ff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ADEQUAÇÕES AS NORMAS VIGENTES (REQUISITOS, NORMAS DA URBANIZAÇÃO, LEIS DE PROTEÇÃO AMBIENTAL)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Com base no Plano Diretor Municipal de 2007 da cidade de Porto Alegre foi avaliado a viabilidade dentro das normas vigentes e a obra atende a legislação para os critérios abaixo:</w:t>
      </w:r>
    </w:p>
    <w:p w:rsidR="00000000" w:rsidDel="00000000" w:rsidP="00000000" w:rsidRDefault="00000000" w:rsidRPr="00000000" w14:paraId="0000005B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Normas da Urbanização e impacto de vizinhança</w:t>
      </w:r>
    </w:p>
    <w:p w:rsidR="00000000" w:rsidDel="00000000" w:rsidP="00000000" w:rsidRDefault="00000000" w:rsidRPr="00000000" w14:paraId="0000005D">
      <w:pPr>
        <w:spacing w:after="120" w:line="276" w:lineRule="auto"/>
        <w:ind w:right="-15"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Leis de Proteção Ambiental</w:t>
      </w:r>
    </w:p>
    <w:p w:rsidR="00000000" w:rsidDel="00000000" w:rsidP="00000000" w:rsidRDefault="00000000" w:rsidRPr="00000000" w14:paraId="0000005E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PROCESSO CONSTRUTIVO A SER EMPREGADO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sistema construtivo seguirá os parâmetros abaixo descritos:</w:t>
      </w:r>
    </w:p>
    <w:p w:rsidR="00000000" w:rsidDel="00000000" w:rsidP="00000000" w:rsidRDefault="00000000" w:rsidRPr="00000000" w14:paraId="00000062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O modelo pode ser implantado em qualquer região do território brasileiro, considerando-se as diferenças climáticas, topográficas e culturais;</w:t>
      </w:r>
    </w:p>
    <w:p w:rsidR="00000000" w:rsidDel="00000000" w:rsidP="00000000" w:rsidRDefault="00000000" w:rsidRPr="00000000" w14:paraId="00000063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Facilidade construtiva, com modelo e técnica construtivos amplamente difundidos;</w:t>
      </w:r>
    </w:p>
    <w:p w:rsidR="00000000" w:rsidDel="00000000" w:rsidP="00000000" w:rsidRDefault="00000000" w:rsidRPr="00000000" w14:paraId="00000064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Utilização de materiais que permitam a perfeita higienização e fácil manutenção;</w:t>
      </w:r>
    </w:p>
    <w:p w:rsidR="00000000" w:rsidDel="00000000" w:rsidP="00000000" w:rsidRDefault="00000000" w:rsidRPr="00000000" w14:paraId="00000065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Obediência à legislação pertinente e normas técnicas vigentes no que tange à construção, saúde e padrões educacionais estabelecidos pelo FNDE/MEC;</w:t>
      </w:r>
    </w:p>
    <w:p w:rsidR="00000000" w:rsidDel="00000000" w:rsidP="00000000" w:rsidRDefault="00000000" w:rsidRPr="00000000" w14:paraId="00000066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- O emprego adequado de técnicas e de materiais de construção, valorizando as reservas regionais com enfoque na sustentabilidade.</w:t>
      </w:r>
    </w:p>
    <w:p w:rsidR="00000000" w:rsidDel="00000000" w:rsidP="00000000" w:rsidRDefault="00000000" w:rsidRPr="00000000" w14:paraId="00000067">
      <w:pPr>
        <w:spacing w:after="120" w:line="276" w:lineRule="auto"/>
        <w:ind w:right="-15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POSSIBILIDADE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RACIONALIZAÇÃO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DO PROCESSO CONSTRUTIVO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Como possibilidade de racionalização do processo construtiva será levando em consideração os critérios abaixo:</w:t>
      </w:r>
    </w:p>
    <w:p w:rsidR="00000000" w:rsidDel="00000000" w:rsidP="00000000" w:rsidRDefault="00000000" w:rsidRPr="00000000" w14:paraId="0000006A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– Otimização do processo produtivo;</w:t>
      </w:r>
    </w:p>
    <w:p w:rsidR="00000000" w:rsidDel="00000000" w:rsidP="00000000" w:rsidRDefault="00000000" w:rsidRPr="00000000" w14:paraId="0000006B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– Racionalização de materiais;</w:t>
      </w:r>
    </w:p>
    <w:p w:rsidR="00000000" w:rsidDel="00000000" w:rsidP="00000000" w:rsidRDefault="00000000" w:rsidRPr="00000000" w14:paraId="0000006C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– Racionalização do tempo;</w:t>
      </w:r>
    </w:p>
    <w:p w:rsidR="00000000" w:rsidDel="00000000" w:rsidP="00000000" w:rsidRDefault="00000000" w:rsidRPr="00000000" w14:paraId="0000006D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– Padronização de projetos;</w:t>
      </w:r>
    </w:p>
    <w:p w:rsidR="00000000" w:rsidDel="00000000" w:rsidP="00000000" w:rsidRDefault="00000000" w:rsidRPr="00000000" w14:paraId="0000006E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– Mecanização e uso de novas tecnologias;</w:t>
      </w:r>
    </w:p>
    <w:p w:rsidR="00000000" w:rsidDel="00000000" w:rsidP="00000000" w:rsidRDefault="00000000" w:rsidRPr="00000000" w14:paraId="0000006F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– Projeto elaborado de acordo com a necessidade do empreendimento</w:t>
      </w:r>
    </w:p>
    <w:p w:rsidR="00000000" w:rsidDel="00000000" w:rsidP="00000000" w:rsidRDefault="00000000" w:rsidRPr="00000000" w14:paraId="00000070">
      <w:pPr>
        <w:spacing w:after="120" w:line="276" w:lineRule="auto"/>
        <w:ind w:right="-1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EXISTÊNCIA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DE FORNECEDORES QUE DEEM RESPOSTAS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ÀS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SOLUÇÕES SOB CONSIDERAÇÃO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Na região existem fornecedores para os materiais propostos para a reforma e adequação da cobertura.</w:t>
      </w:r>
    </w:p>
    <w:p w:rsidR="00000000" w:rsidDel="00000000" w:rsidP="00000000" w:rsidRDefault="00000000" w:rsidRPr="00000000" w14:paraId="00000073">
      <w:pPr>
        <w:spacing w:after="120" w:line="276" w:lineRule="auto"/>
        <w:ind w:right="-15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ESTIMATIVA PRELIMINAR DE CUSTO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modelo adotado para a configuração da reforma e adequação da cobertura predial e suas interferências denotam o valor estimad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 de R$ 600.00,00.</w:t>
      </w:r>
    </w:p>
    <w:p w:rsidR="00000000" w:rsidDel="00000000" w:rsidP="00000000" w:rsidRDefault="00000000" w:rsidRPr="00000000" w14:paraId="00000076">
      <w:pPr>
        <w:ind w:firstLine="709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1"/>
          <w:numId w:val="1"/>
        </w:numPr>
        <w:spacing w:after="120" w:line="276" w:lineRule="auto"/>
        <w:ind w:left="360" w:right="-15" w:hanging="360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VIABILIDADE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ECONÔMICA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-FINANCEIRA DO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20" w:line="276" w:lineRule="auto"/>
        <w:ind w:left="360" w:right="-15" w:firstLine="349.00000000000006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 Campus Porto Alegre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contará com recurso próprio para a reforma telhado uma vez que recebeu recurso específico para esta finalidade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9">
      <w:pPr>
        <w:spacing w:after="120" w:line="276" w:lineRule="auto"/>
        <w:ind w:right="-15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120" w:line="276" w:lineRule="auto"/>
        <w:ind w:right="-15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20" w:line="276" w:lineRule="auto"/>
        <w:ind w:right="-15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120" w:line="276" w:lineRule="auto"/>
        <w:ind w:right="-15"/>
        <w:jc w:val="both"/>
        <w:rPr>
          <w:rFonts w:ascii="Arial" w:cs="Arial" w:eastAsia="Arial" w:hAnsi="Arial"/>
          <w:b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line="276" w:lineRule="auto"/>
        <w:ind w:left="36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120" w:line="276" w:lineRule="auto"/>
        <w:ind w:left="36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Porto alegre,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31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julho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 20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120" w:line="276" w:lineRule="auto"/>
        <w:ind w:left="36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80">
      <w:pPr>
        <w:spacing w:after="120" w:line="276" w:lineRule="auto"/>
        <w:ind w:left="36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Carlos André Schweitzer</w:t>
      </w:r>
    </w:p>
    <w:p w:rsidR="00000000" w:rsidDel="00000000" w:rsidP="00000000" w:rsidRDefault="00000000" w:rsidRPr="00000000" w14:paraId="00000081">
      <w:pPr>
        <w:spacing w:after="120" w:line="276" w:lineRule="auto"/>
        <w:ind w:left="36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Eng° civil  - responsável pela análise</w:t>
      </w:r>
    </w:p>
    <w:p w:rsidR="00000000" w:rsidDel="00000000" w:rsidP="00000000" w:rsidRDefault="00000000" w:rsidRPr="00000000" w14:paraId="00000082">
      <w:pPr>
        <w:spacing w:after="120" w:line="276" w:lineRule="auto"/>
        <w:ind w:left="36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Mat. 1266039</w:t>
      </w:r>
    </w:p>
    <w:p w:rsidR="00000000" w:rsidDel="00000000" w:rsidP="00000000" w:rsidRDefault="00000000" w:rsidRPr="00000000" w14:paraId="00000083">
      <w:pPr>
        <w:spacing w:after="120" w:line="276" w:lineRule="auto"/>
        <w:ind w:left="360" w:firstLine="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Diretoria de planejamento e Obras - DPO</w:t>
      </w:r>
    </w:p>
    <w:p w:rsidR="00000000" w:rsidDel="00000000" w:rsidP="00000000" w:rsidRDefault="00000000" w:rsidRPr="00000000" w14:paraId="00000084">
      <w:pPr>
        <w:spacing w:after="120" w:line="276" w:lineRule="auto"/>
        <w:ind w:left="360" w:firstLine="0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/>
      <w:pgMar w:bottom="1418" w:top="1418" w:left="1701" w:right="1134" w:header="720" w:footer="102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Ecofont_Spranq_eco_San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Diretoria de Planejamento e Obras</w:t>
    </w:r>
  </w:p>
  <w:p w:rsidR="00000000" w:rsidDel="00000000" w:rsidP="00000000" w:rsidRDefault="00000000" w:rsidRPr="00000000" w14:paraId="0000008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Ecofont_Spranq_eco_Sans" w:cs="Ecofont_Spranq_eco_Sans" w:eastAsia="Ecofont_Spranq_eco_Sans" w:hAnsi="Ecofont_Spranq_eco_Sans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"/>
      <w:lvlJc w:val="left"/>
      <w:pPr>
        <w:ind w:left="360" w:hanging="360"/>
      </w:pPr>
      <w:rPr>
        <w:color w:val="00000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cs="Arial" w:eastAsia="Arial" w:hAnsi="Arial"/>
        <w:b w:val="1"/>
        <w:color w:val="000000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1"/>
        <w:color w:val="000000"/>
        <w:sz w:val="20"/>
        <w:szCs w:val="2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  <w:sz w:val="20"/>
        <w:szCs w:val="2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  <w:sz w:val="20"/>
        <w:szCs w:val="2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  <w:sz w:val="20"/>
        <w:szCs w:val="2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  <w:sz w:val="20"/>
        <w:szCs w:val="2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000000"/>
        <w:sz w:val="20"/>
        <w:szCs w:val="20"/>
        <w:vertAlign w:val="baseline"/>
      </w:rPr>
    </w:lvl>
  </w:abstractNum>
  <w:abstractNum w:abstractNumId="2">
    <w:lvl w:ilvl="0">
      <w:start w:val="1"/>
      <w:numFmt w:val="decimal"/>
      <w:lvlText w:val="%1-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Ecofont_Spranq_eco_Sans" w:cs="Ecofont_Spranq_eco_Sans" w:eastAsia="Ecofont_Spranq_eco_Sans" w:hAnsi="Ecofont_Spranq_eco_Sans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0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zh-CN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numPr>
        <w:ilvl w:val="1"/>
        <w:numId w:val="1"/>
      </w:numPr>
      <w:tabs>
        <w:tab w:val="left" w:leader="none" w:pos="1701"/>
      </w:tabs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top"/>
      <w:outlineLvl w:val="1"/>
    </w:pPr>
    <w:rPr>
      <w:rFonts w:ascii="Times New Roman" w:cs="Times New Roman" w:hAnsi="Times New Roman"/>
      <w:b w:val="1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b w:val="0"/>
      <w:i w:val="1"/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2">
    <w:name w:val="Fonte parág. padrão2"/>
    <w:next w:val="Fonteparág.padrão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b w:val="1"/>
      <w:i w:val="0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color w:val="0000ff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Ecofont_Spranq_eco_Sans" w:cs="Arial" w:hAnsi="Ecofont_Spranq_eco_Sans"/>
      <w:i w:val="1"/>
      <w:color w:val="ff0000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b w:val="1"/>
      <w:i w:val="0"/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b w:val="1"/>
      <w:i w:val="0"/>
      <w:color w:val="auto"/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ítulo2Char">
    <w:name w:val="Título 2 Char"/>
    <w:next w:val="Título2Char"/>
    <w:autoRedefine w:val="0"/>
    <w:hidden w:val="0"/>
    <w:qFormat w:val="0"/>
    <w:rPr>
      <w:b w:val="1"/>
      <w:color w:val="000000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normal__char1">
    <w:name w:val="normal__char1"/>
    <w:next w:val="normal__char1"/>
    <w:autoRedefine w:val="0"/>
    <w:hidden w:val="0"/>
    <w:qFormat w:val="0"/>
    <w:rPr>
      <w:rFonts w:ascii="Arial" w:cs="Arial" w:hAnsi="Arial"/>
      <w:strike w:val="0"/>
      <w:dstrike w:val="0"/>
      <w:w w:val="100"/>
      <w:position w:val="-1"/>
      <w:sz w:val="24"/>
      <w:szCs w:val="24"/>
      <w:u w:val="none"/>
      <w:effect w:val="none"/>
      <w:vertAlign w:val="baseline"/>
      <w:cs w:val="0"/>
      <w:em w:val="none"/>
      <w:lang/>
    </w:rPr>
  </w:style>
  <w:style w:type="character" w:styleId="apple-style-span">
    <w:name w:val="apple-style-span"/>
    <w:basedOn w:val="Fonteparág.padrão1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rte">
    <w:name w:val="Forte"/>
    <w:next w:val="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Ênfase">
    <w:name w:val="Ênfase"/>
    <w:next w:val="Ênfase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citação2Char">
    <w:name w:val="citação 2 Char"/>
    <w:next w:val="citação2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effect w:val="none"/>
      <w:vertAlign w:val="baseline"/>
      <w:cs w:val="0"/>
      <w:em w:val="none"/>
      <w:lang w:bidi="ar-SA" w:val="pt-BR"/>
    </w:rPr>
  </w:style>
  <w:style w:type="character" w:styleId="CorpodetextoChar">
    <w:name w:val="Corpo de texto Char"/>
    <w:next w:val="CorpodetextoChar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 w:bidi="ar-SA" w:val="pt-BR"/>
    </w:rPr>
  </w:style>
  <w:style w:type="character" w:styleId="FootnoteCharacters">
    <w:name w:val="Footnote Characters"/>
    <w:next w:val="FootnoteCharacters"/>
    <w:autoRedefine w:val="0"/>
    <w:hidden w:val="0"/>
    <w:qFormat w:val="0"/>
    <w:rPr>
      <w:color w:val="ff0000"/>
      <w:w w:val="100"/>
      <w:position w:val="-1"/>
      <w:effect w:val="none"/>
      <w:vertAlign w:val="superscript"/>
      <w:cs w:val="0"/>
      <w:em w:val="none"/>
      <w:lang/>
    </w:rPr>
  </w:style>
  <w:style w:type="character" w:styleId="apple-converted-space">
    <w:name w:val="apple-converted-space"/>
    <w:basedOn w:val="Fonteparág.padrão1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ombreamentoMédio1-Ênfase3Char">
    <w:name w:val="Sombreamento Médio 1 - Ênfase 3 Char"/>
    <w:next w:val="SombreamentoMédio1-Ênfase3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Cs w:val="24"/>
      <w:effect w:val="none"/>
      <w:vertAlign w:val="baseline"/>
      <w:cs w:val="0"/>
      <w:em w:val="none"/>
      <w:lang w:bidi="ar-SA" w:val="pt-BR"/>
    </w:rPr>
  </w:style>
  <w:style w:type="character" w:styleId="TextodecomentárioChar">
    <w:name w:val="Texto de comentário Char"/>
    <w:next w:val="TextodecomentárioChar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/>
    </w:rPr>
  </w:style>
  <w:style w:type="character" w:styleId="GradeMédia2-Ênfase2Char">
    <w:name w:val="Grade Média 2 - Ênfase 2 Char"/>
    <w:next w:val="GradeMédia2-Ênfase2Char"/>
    <w:autoRedefine w:val="0"/>
    <w:hidden w:val="0"/>
    <w:qFormat w:val="0"/>
    <w:rPr>
      <w:rFonts w:ascii="Ecofont_Spranq_eco_Sans" w:cs="Ecofont_Spranq_eco_Sans" w:eastAsia="Calibri" w:hAnsi="Ecofont_Spranq_eco_Sans"/>
      <w:i w:val="1"/>
      <w:iCs w:val="1"/>
      <w:color w:val="000000"/>
      <w:w w:val="100"/>
      <w:position w:val="-1"/>
      <w:szCs w:val="24"/>
      <w:effect w:val="none"/>
      <w:shd w:color="auto" w:fill="ffffcc" w:val="clear"/>
      <w:vertAlign w:val="baseline"/>
      <w:cs w:val="0"/>
      <w:em w:val="none"/>
      <w:lang w:val="und"/>
    </w:rPr>
  </w:style>
  <w:style w:type="character" w:styleId="Ref.decomentário1">
    <w:name w:val="Ref. de comentário1"/>
    <w:next w:val="Ref.decomentário1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AssuntodocomentárioChar">
    <w:name w:val="Assunto do comentário Char"/>
    <w:next w:val="AssuntodocomentárioChar"/>
    <w:autoRedefine w:val="0"/>
    <w:hidden w:val="0"/>
    <w:qFormat w:val="0"/>
    <w:rPr>
      <w:rFonts w:ascii="Ecofont_Spranq_eco_Sans" w:cs="Tahoma" w:hAnsi="Ecofont_Spranq_eco_Sans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Bullets">
    <w:name w:val="Bullets"/>
    <w:next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Ref.decomentário2">
    <w:name w:val="Ref. de comentário2"/>
    <w:next w:val="Ref.decomentário2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xtodecomentárioChar1">
    <w:name w:val="Texto de comentário Char1"/>
    <w:next w:val="TextodecomentárioChar1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 w:eastAsia="zh-CN"/>
    </w:rPr>
  </w:style>
  <w:style w:type="character" w:styleId="CabeçalhoChar">
    <w:name w:val="Cabeçalho Char"/>
    <w:next w:val="CabeçalhoChar"/>
    <w:autoRedefine w:val="0"/>
    <w:hidden w:val="0"/>
    <w:qFormat w:val="0"/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styleId="RodapéChar">
    <w:name w:val="Rodapé Char"/>
    <w:next w:val="RodapéChar"/>
    <w:autoRedefine w:val="0"/>
    <w:hidden w:val="0"/>
    <w:qFormat w:val="0"/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Heading">
    <w:name w:val="Heading"/>
    <w:basedOn w:val="Normal"/>
    <w:next w:val="Corpodetexto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ohit Hindi" w:eastAsia="WenQuanYi Micro 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Lista">
    <w:name w:val="Lista"/>
    <w:basedOn w:val="Corpodetexto"/>
    <w:next w:val="Lista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Lohit Hindi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Legenda">
    <w:name w:val="Legenda"/>
    <w:basedOn w:val="Normal"/>
    <w:next w:val="Legend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Index">
    <w:name w:val="Index"/>
    <w:basedOn w:val="Normal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Lohit Hindi" w:hAnsi="Ecofont_Spranq_eco_Sans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GradeClara-Ênfase31">
    <w:name w:val="Grade Clara - Ênfase 31"/>
    <w:basedOn w:val="Normal"/>
    <w:next w:val="GradeClara-Ênfase31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0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1">
    <w:name w:val="Texto de balão1"/>
    <w:basedOn w:val="Normal"/>
    <w:next w:val="Textodebalã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t-BR"/>
    </w:rPr>
  </w:style>
  <w:style w:type="paragraph" w:styleId="Nível2">
    <w:name w:val="Nível 2"/>
    <w:basedOn w:val="Normal"/>
    <w:next w:val="Normal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Times New Roman" w:hAnsi="Arial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itação2">
    <w:name w:val="citação 2"/>
    <w:basedOn w:val="Normal"/>
    <w:next w:val="citação2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ad">
    <w:name w:val="ad"/>
    <w:basedOn w:val="Normal"/>
    <w:next w:val="ad"/>
    <w:autoRedefine w:val="0"/>
    <w:hidden w:val="0"/>
    <w:qFormat w:val="0"/>
    <w:pPr>
      <w:suppressAutoHyphens w:val="0"/>
      <w:spacing w:line="360" w:lineRule="auto"/>
      <w:ind w:left="993" w:right="0" w:leftChars="-1" w:rightChars="0" w:hanging="284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a6">
    <w:name w:val="a6"/>
    <w:next w:val="a6"/>
    <w:autoRedefine w:val="0"/>
    <w:hidden w:val="0"/>
    <w:qFormat w:val="0"/>
    <w:pPr>
      <w:suppressAutoHyphens w:val="0"/>
      <w:spacing w:after="120" w:line="1" w:lineRule="atLeast"/>
      <w:ind w:left="1134" w:leftChars="-1" w:rightChars="0" w:firstLineChars="-1"/>
      <w:jc w:val="both"/>
      <w:textDirection w:val="btLr"/>
      <w:textAlignment w:val="top"/>
      <w:outlineLvl w:val="0"/>
    </w:pPr>
    <w:rPr>
      <w:bCs w:val="1"/>
      <w:iCs w:val="1"/>
      <w:w w:val="100"/>
      <w:position w:val="-1"/>
      <w:effect w:val="none"/>
      <w:vertAlign w:val="baseline"/>
      <w:cs w:val="0"/>
      <w:em w:val="none"/>
      <w:lang w:bidi="ar-SA" w:eastAsia="zh-CN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2"/>
      <w:effect w:val="none"/>
      <w:vertAlign w:val="baseline"/>
      <w:cs w:val="0"/>
      <w:em w:val="none"/>
      <w:lang w:bidi="ar-SA" w:eastAsia="zh-CN" w:val="pt-BR"/>
    </w:rPr>
  </w:style>
  <w:style w:type="paragraph" w:styleId="Textodenotaderodapé">
    <w:name w:val="Texto de nota de rodapé"/>
    <w:basedOn w:val="Normal"/>
    <w:next w:val="Textodenotaderodapé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rFonts w:ascii="Times New Roman" w:cs="Times New Roman" w:eastAsia="Arial Unicode MS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SombreamentoMédio1-Ênfase31">
    <w:name w:val="Sombreamento Médio 1 - Ênfase 31"/>
    <w:basedOn w:val="Normal"/>
    <w:next w:val="Normal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comentário1">
    <w:name w:val="Texto de comentário1"/>
    <w:basedOn w:val="Normal"/>
    <w:next w:val="Textodecomentári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itação1">
    <w:name w:val="Citação1"/>
    <w:basedOn w:val="Normal"/>
    <w:next w:val="Normal"/>
    <w:autoRedefine w:val="0"/>
    <w:hidden w:val="0"/>
    <w:qFormat w:val="0"/>
    <w:pPr>
      <w:pBdr>
        <w:top w:color="000080" w:space="1" w:sz="4" w:val="single"/>
        <w:left w:color="000080" w:space="4" w:sz="4" w:val="single"/>
        <w:bottom w:color="000080" w:space="1" w:sz="4" w:val="single"/>
        <w:right w:color="000080" w:space="4" w:sz="4" w:val="single"/>
      </w:pBdr>
      <w:shd w:color="auto" w:fill="ffffcc" w:val="clear"/>
      <w:suppressAutoHyphens w:val="0"/>
      <w:spacing w:after="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imes New Roman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Assuntodocomentário1">
    <w:name w:val="Assunto do comentário1"/>
    <w:basedOn w:val="Textodecomentário1"/>
    <w:next w:val="Textodecomentário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ParágrafodaLista1">
    <w:name w:val="Parágrafo da Lista1"/>
    <w:basedOn w:val="Normal"/>
    <w:next w:val="ParágrafodaLista1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comentário2">
    <w:name w:val="Texto de comentário2"/>
    <w:basedOn w:val="Normal"/>
    <w:next w:val="Textodecomentário2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pt-BR"/>
    </w:rPr>
  </w:style>
  <w:style w:type="character" w:styleId="TextodebalãoChar1">
    <w:name w:val="Texto de balão Char1"/>
    <w:next w:val="TextodebalãoChar1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zh-CN" w:val="pt-BR"/>
    </w:rPr>
  </w:style>
  <w:style w:type="paragraph" w:styleId="GradeMédia1-Ênfase2">
    <w:name w:val="Grade Média 1 - Ênfase 2"/>
    <w:basedOn w:val="Normal"/>
    <w:next w:val="GradeMédia1-Ênfase2"/>
    <w:autoRedefine w:val="0"/>
    <w:hidden w:val="0"/>
    <w:qFormat w:val="0"/>
    <w:pPr>
      <w:widowControl w:val="0"/>
      <w:suppressAutoHyphens w:val="0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cs="Times New Roman" w:eastAsia="Arial Unicode MS" w:hAnsi="Times New Roman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GradeMédia2-Ênfase2">
    <w:name w:val="Grade Média 2 - Ênfase 2"/>
    <w:basedOn w:val="Normal"/>
    <w:next w:val="Normal"/>
    <w:autoRedefine w:val="0"/>
    <w:hidden w:val="0"/>
    <w:qFormat w:val="0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Ecofont_Spranq_eco_Sans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CitaçãoChar1">
    <w:name w:val="Citação Char1"/>
    <w:next w:val="CitaçãoChar1"/>
    <w:autoRedefine w:val="0"/>
    <w:hidden w:val="0"/>
    <w:qFormat w:val="0"/>
    <w:rPr>
      <w:rFonts w:ascii="Ecofont_Spranq_eco_Sans" w:cs="Tahoma" w:hAnsi="Ecofont_Spranq_eco_Sans"/>
      <w:i w:val="1"/>
      <w:iCs w:val="1"/>
      <w:color w:val="404040"/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styleId="Ref.decomentário">
    <w:name w:val="Ref. de comentário"/>
    <w:next w:val="Ref.decomentário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xtodecomentário">
    <w:name w:val="Texto de comentário"/>
    <w:basedOn w:val="Normal"/>
    <w:next w:val="Textodecomentário"/>
    <w:autoRedefine w:val="0"/>
    <w:hidden w:val="0"/>
    <w:qFormat w:val="1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TextodecomentárioChar2">
    <w:name w:val="Texto de comentário Char2"/>
    <w:next w:val="TextodecomentárioChar2"/>
    <w:autoRedefine w:val="0"/>
    <w:hidden w:val="0"/>
    <w:qFormat w:val="0"/>
    <w:rPr>
      <w:rFonts w:ascii="Ecofont_Spranq_eco_Sans" w:cs="Tahoma" w:hAnsi="Ecofont_Spranq_eco_Sans"/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GradeColorida-Ênfase1">
    <w:name w:val="Grade Colorida - Ênfase 1"/>
    <w:basedOn w:val="Normal"/>
    <w:next w:val="Normal"/>
    <w:autoRedefine w:val="0"/>
    <w:hidden w:val="0"/>
    <w:qFormat w:val="0"/>
    <w:pPr>
      <w:pBdr>
        <w:top w:color="1f497d" w:space="1" w:sz="4" w:val="single"/>
        <w:left w:color="1f497d" w:space="4" w:sz="4" w:val="single"/>
        <w:bottom w:color="1f497d" w:space="1" w:sz="4" w:val="single"/>
        <w:right w:color="1f497d" w:space="4" w:sz="4" w:val="single"/>
      </w:pBdr>
      <w:shd w:color="auto" w:fill="ffffcc" w:val="clear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pt-BR"/>
    </w:rPr>
  </w:style>
  <w:style w:type="character" w:styleId="GradeColorida-Ênfase1Char">
    <w:name w:val="Grade Colorida - Ênfase 1 Char"/>
    <w:next w:val="GradeColorida-Ênfase1Char"/>
    <w:autoRedefine w:val="0"/>
    <w:hidden w:val="0"/>
    <w:qFormat w:val="0"/>
    <w:rPr>
      <w:rFonts w:ascii="Ecofont_Spranq_eco_Sans" w:cs="Tahoma" w:eastAsia="Calibri" w:hAnsi="Ecofont_Spranq_eco_Sans"/>
      <w:i w:val="1"/>
      <w:iCs w:val="1"/>
      <w:color w:val="000000"/>
      <w:w w:val="100"/>
      <w:position w:val="-1"/>
      <w:szCs w:val="24"/>
      <w:effect w:val="none"/>
      <w:shd w:color="auto" w:fill="ffffcc" w:val="clear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zh-CN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0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rFonts w:ascii="Ecofont_Spranq_eco_Sans" w:cs="Tahoma" w:hAnsi="Ecofont_Spranq_eco_San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YiEa22XlXx9a5yghwDK35YWZMA==">AMUW2mXjO+dzQk+L++Eck4NvkBbFA98zNE721L9Bx7Ud+KRniEjc9Mx498L2V8LWnYaCcewFKHbckh1ihByKmiraoPh0FIwjdrW628WIPCcuTmd59j1w59U=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2018-08-02T20:20:00Z</dcterms:created>
  <dc:creator>EDUARDO DOTTI</dc:creator>
</cp:coreProperties>
</file>